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3月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预习《语文园地三》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练习查字典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1.用字典查找自己的名字。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2.预习《静夜思》。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准备字典。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2、预习《语文园地三》。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练习查字典，用字典查找自己的名字。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背诵《音序查字法口诀》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1、预习《语文园地三》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2、练习查字典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朗读并背诵39页日积月累内容。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预习《彩色的梦》。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朗读日积月累内容。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预习书本26页。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朗读日积月累内容。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朗读并背诵39页日积月累内容。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朗读日积月累内容。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.誊写习作二。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.校本P28~29指定作业。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2.听读P18-19。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.背、默9。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.校本28-29。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2.听读P18-19。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.背、默9。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.校本28-29。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2.听读P18-19。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.背默9。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.校本P24、25。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2.听读P18-19。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.默10。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.校本P24、25。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.朗读P21语音部分。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2.抄写M2U2(上），英4，中1。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完成练习册第9课。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校本第31.-34页剩余部分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u3练习卷基础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第八课练习部分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校本第31.-34页剩余部分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1.背默P19划到的句子。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预习第10课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</w:rPr>
              <w:t>1.背默P19划到的句子。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u3练习卷基础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抄写第8课划词2遍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背诵学习园地古诗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完成数学精练第30-31页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u3练习卷基础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.复习11，默写，完成精练39页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2.练习卷（反面）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2.练习卷（反面）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.复习第一单元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2.誊写习作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2.练习卷（反面）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.背P32，预习P34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.完成精练第九课部分习题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2.自默古诗三首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2.练习卷（反面）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.背P32，预习P34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0051"/>
    <w:multiLevelType w:val="singleLevel"/>
    <w:tmpl w:val="EFFD00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0570F"/>
    <w:multiLevelType w:val="singleLevel"/>
    <w:tmpl w:val="FFE0570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FFFCBAB"/>
    <w:multiLevelType w:val="singleLevel"/>
    <w:tmpl w:val="2FFFCB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F5763E1"/>
    <w:rsid w:val="0F5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2023-04-08T03:14:00Z</dcterms:created>
  <dc:creator>龚珏</dc:creator>
  <cp:lastModifiedBy>龚珏</cp:lastModifiedBy>
  <dcterms:modified xsi:type="dcterms:W3CDTF">2023-04-08T03:16:10Z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8F8941336CF5441DBA960340D80F5CCE_11</vt:lpwstr>
  </property>
</Properties>
</file>