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  <w:lang w:val="en-US" w:eastAsia="zh-CN"/>
        </w:rPr>
        <w:t>5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  <w:lang w:val="en-US" w:eastAsia="zh-CN"/>
        </w:rPr>
        <w:t>24</w:t>
      </w:r>
      <w:bookmarkStart w:id="0" w:name="_GoBack"/>
      <w:bookmarkEnd w:id="0"/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  <w:lang w:eastAsia="zh-CN"/>
        </w:rPr>
        <w:t>三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</w:tbl>
    <w:p/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四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</w:tbl>
    <w:p/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161B52FB"/>
    <w:rsid w:val="01AA3877"/>
    <w:rsid w:val="0BEE7658"/>
    <w:rsid w:val="161B52FB"/>
    <w:rsid w:val="18381785"/>
    <w:rsid w:val="1BD24EF7"/>
    <w:rsid w:val="1FED554B"/>
    <w:rsid w:val="27AE736E"/>
    <w:rsid w:val="4EC217CD"/>
    <w:rsid w:val="56752AF5"/>
    <w:rsid w:val="573C40E7"/>
    <w:rsid w:val="714D6804"/>
    <w:rsid w:val="7209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1105</Words>
  <Characters>1112</Characters>
  <Lines>0</Lines>
  <Paragraphs>0</Paragraphs>
  <TotalTime>3</TotalTime>
  <ScaleCrop>false</ScaleCrop>
  <LinksUpToDate>false</LinksUpToDate>
  <CharactersWithSpaces>1112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2023-03-06T05:08:00Z</dcterms:created>
  <dc:creator>龚珏</dc:creator>
  <cp:lastModifiedBy>龚珏</cp:lastModifiedBy>
  <dcterms:modified xsi:type="dcterms:W3CDTF">2023-05-31T01:43:18Z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9892073C840446079A3FBE580010CD8F_13</vt:lpwstr>
  </property>
</Properties>
</file>